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C7A2" w14:textId="3F3ADCF8" w:rsidR="00642A79" w:rsidRDefault="001E32A9" w:rsidP="00BF2C50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Spettabile Società, </w:t>
      </w:r>
    </w:p>
    <w:p w14:paraId="0F9F4CD7" w14:textId="503BF46E" w:rsidR="001E32A9" w:rsidRDefault="001E32A9" w:rsidP="00BF2C50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14:paraId="49FC67B2" w14:textId="6DECF7E0" w:rsidR="001E32A9" w:rsidRDefault="001E32A9" w:rsidP="00BF2C50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riscontriamo la Vostra cortese comunicazione con la quale ci informate della nuova disciplina in materia di </w:t>
      </w:r>
      <w:r w:rsidR="00E25474">
        <w:rPr>
          <w:rFonts w:ascii="Garamond" w:hAnsi="Garamond"/>
          <w:sz w:val="24"/>
          <w:szCs w:val="24"/>
        </w:rPr>
        <w:t>“</w:t>
      </w:r>
      <w:r w:rsidR="00E25474" w:rsidRPr="00E25474">
        <w:rPr>
          <w:rFonts w:ascii="Garamond" w:hAnsi="Garamond"/>
          <w:i/>
          <w:iCs/>
          <w:sz w:val="24"/>
          <w:szCs w:val="24"/>
        </w:rPr>
        <w:t>P</w:t>
      </w:r>
      <w:r w:rsidRPr="00E25474">
        <w:rPr>
          <w:rFonts w:ascii="Garamond" w:hAnsi="Garamond"/>
          <w:i/>
          <w:iCs/>
          <w:sz w:val="24"/>
          <w:szCs w:val="24"/>
        </w:rPr>
        <w:t xml:space="preserve">ratiche commerciali sleali </w:t>
      </w:r>
      <w:r w:rsidR="00E25474" w:rsidRPr="00E25474">
        <w:rPr>
          <w:rFonts w:ascii="Garamond" w:hAnsi="Garamond"/>
          <w:i/>
          <w:iCs/>
          <w:sz w:val="24"/>
          <w:szCs w:val="24"/>
        </w:rPr>
        <w:t>nei rapporti tra imprese nella filiera agricola</w:t>
      </w:r>
      <w:r w:rsidR="00E25474">
        <w:rPr>
          <w:rFonts w:ascii="Garamond" w:hAnsi="Garamond"/>
          <w:sz w:val="24"/>
          <w:szCs w:val="24"/>
        </w:rPr>
        <w:t xml:space="preserve">” </w:t>
      </w:r>
      <w:r w:rsidR="003F5B1B">
        <w:rPr>
          <w:rFonts w:ascii="Garamond" w:hAnsi="Garamond"/>
          <w:sz w:val="24"/>
          <w:szCs w:val="24"/>
        </w:rPr>
        <w:t xml:space="preserve">emanata </w:t>
      </w:r>
      <w:r>
        <w:rPr>
          <w:rFonts w:ascii="Garamond" w:hAnsi="Garamond"/>
          <w:sz w:val="24"/>
          <w:szCs w:val="24"/>
        </w:rPr>
        <w:t xml:space="preserve">con </w:t>
      </w:r>
      <w:r w:rsidR="003F5B1B"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 xml:space="preserve">.lgs. </w:t>
      </w:r>
      <w:r w:rsidR="003F5B1B">
        <w:rPr>
          <w:rFonts w:ascii="Garamond" w:hAnsi="Garamond"/>
          <w:sz w:val="24"/>
          <w:szCs w:val="24"/>
        </w:rPr>
        <w:t xml:space="preserve">8 novembre 2021, n. </w:t>
      </w:r>
      <w:r>
        <w:rPr>
          <w:rFonts w:ascii="Garamond" w:hAnsi="Garamond"/>
          <w:sz w:val="24"/>
          <w:szCs w:val="24"/>
        </w:rPr>
        <w:t>198</w:t>
      </w:r>
      <w:r w:rsidR="003F5B1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attuativo della </w:t>
      </w:r>
      <w:r w:rsidR="003F5B1B"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 xml:space="preserve">irettiva </w:t>
      </w:r>
      <w:r w:rsidR="003F5B1B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UE</w:t>
      </w:r>
      <w:r w:rsidR="003F5B1B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2019/633. </w:t>
      </w:r>
    </w:p>
    <w:p w14:paraId="7853BD32" w14:textId="36EE355A" w:rsidR="001E32A9" w:rsidRDefault="001E32A9" w:rsidP="000C3766">
      <w:pPr>
        <w:pStyle w:val="Nessunaspaziatur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 riferimento ai termini di pagamento,</w:t>
      </w:r>
      <w:r w:rsidR="003F5B1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offriamo alla Vostra attenzione le seguenti precisazioni alla luce delle Vostre richieste. </w:t>
      </w:r>
    </w:p>
    <w:p w14:paraId="3F93D61D" w14:textId="02680CC5" w:rsidR="00875A39" w:rsidRDefault="00802F02" w:rsidP="00BF2C50">
      <w:pPr>
        <w:pStyle w:val="Nessunaspaziatur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d.lgs. 198/2021 </w:t>
      </w:r>
      <w:r w:rsidR="001E32A9">
        <w:rPr>
          <w:rFonts w:ascii="Garamond" w:hAnsi="Garamond"/>
          <w:sz w:val="24"/>
          <w:szCs w:val="24"/>
        </w:rPr>
        <w:t xml:space="preserve">in </w:t>
      </w:r>
      <w:r>
        <w:rPr>
          <w:rFonts w:ascii="Garamond" w:hAnsi="Garamond"/>
          <w:sz w:val="24"/>
          <w:szCs w:val="24"/>
        </w:rPr>
        <w:t xml:space="preserve">alcun modo impone una revisione </w:t>
      </w:r>
      <w:r w:rsidR="007A0B83">
        <w:rPr>
          <w:rFonts w:ascii="Garamond" w:hAnsi="Garamond"/>
          <w:sz w:val="24"/>
          <w:szCs w:val="24"/>
        </w:rPr>
        <w:t>delle clausole negoziali relative ai termini di pagamento</w:t>
      </w:r>
      <w:r>
        <w:rPr>
          <w:rFonts w:ascii="Garamond" w:hAnsi="Garamond"/>
          <w:sz w:val="24"/>
          <w:szCs w:val="24"/>
        </w:rPr>
        <w:t xml:space="preserve"> nel senso di prevedere il versamento del corrispettivo </w:t>
      </w:r>
      <w:r w:rsidR="007A0B83">
        <w:rPr>
          <w:rFonts w:ascii="Garamond" w:hAnsi="Garamond"/>
          <w:sz w:val="24"/>
          <w:szCs w:val="24"/>
        </w:rPr>
        <w:t xml:space="preserve">derivante dalla cessione di </w:t>
      </w:r>
      <w:r>
        <w:rPr>
          <w:rFonts w:ascii="Garamond" w:hAnsi="Garamond"/>
          <w:sz w:val="24"/>
          <w:szCs w:val="24"/>
        </w:rPr>
        <w:t xml:space="preserve">prodotti deperibili entro 30 giorni e </w:t>
      </w:r>
      <w:r w:rsidR="00875A39"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z w:val="24"/>
          <w:szCs w:val="24"/>
        </w:rPr>
        <w:t xml:space="preserve"> prodotti non deperibili entro 60 giorni</w:t>
      </w:r>
      <w:r w:rsidR="00010223" w:rsidRPr="00010223">
        <w:rPr>
          <w:rFonts w:ascii="Garamond" w:hAnsi="Garamond"/>
          <w:sz w:val="24"/>
          <w:szCs w:val="24"/>
        </w:rPr>
        <w:t xml:space="preserve"> </w:t>
      </w:r>
      <w:r w:rsidR="00010223">
        <w:rPr>
          <w:rFonts w:ascii="Garamond" w:hAnsi="Garamond"/>
          <w:sz w:val="24"/>
          <w:szCs w:val="24"/>
        </w:rPr>
        <w:t>dalle date ivi fissate</w:t>
      </w:r>
      <w:r>
        <w:rPr>
          <w:rFonts w:ascii="Garamond" w:hAnsi="Garamond"/>
          <w:sz w:val="24"/>
          <w:szCs w:val="24"/>
        </w:rPr>
        <w:t xml:space="preserve">. </w:t>
      </w:r>
      <w:r w:rsidRPr="00875A39">
        <w:rPr>
          <w:rFonts w:ascii="Garamond" w:hAnsi="Garamond"/>
          <w:sz w:val="24"/>
          <w:szCs w:val="24"/>
        </w:rPr>
        <w:t>In realtà, la novella legislativa, nell’</w:t>
      </w:r>
      <w:r w:rsidR="00891F3B" w:rsidRPr="00875A39">
        <w:rPr>
          <w:rFonts w:ascii="Garamond" w:hAnsi="Garamond"/>
          <w:sz w:val="24"/>
          <w:szCs w:val="24"/>
        </w:rPr>
        <w:t>ambito</w:t>
      </w:r>
      <w:r w:rsidR="00891F3B">
        <w:rPr>
          <w:rFonts w:ascii="Garamond" w:hAnsi="Garamond"/>
          <w:sz w:val="24"/>
          <w:szCs w:val="24"/>
        </w:rPr>
        <w:t xml:space="preserve"> dell’elenco</w:t>
      </w:r>
      <w:r w:rsidR="00F43605">
        <w:rPr>
          <w:rFonts w:ascii="Garamond" w:hAnsi="Garamond"/>
          <w:sz w:val="24"/>
          <w:szCs w:val="24"/>
        </w:rPr>
        <w:t xml:space="preserve"> dei comportamenti </w:t>
      </w:r>
      <w:proofErr w:type="spellStart"/>
      <w:r w:rsidR="00F43605">
        <w:rPr>
          <w:rFonts w:ascii="Garamond" w:hAnsi="Garamond"/>
          <w:sz w:val="24"/>
          <w:szCs w:val="24"/>
        </w:rPr>
        <w:t>vietati</w:t>
      </w:r>
      <w:r w:rsidRPr="00875A39">
        <w:rPr>
          <w:rFonts w:ascii="Garamond" w:hAnsi="Garamond"/>
          <w:sz w:val="24"/>
          <w:szCs w:val="24"/>
        </w:rPr>
        <w:t>di</w:t>
      </w:r>
      <w:proofErr w:type="spellEnd"/>
      <w:r w:rsidRPr="00875A39">
        <w:rPr>
          <w:rFonts w:ascii="Garamond" w:hAnsi="Garamond"/>
          <w:sz w:val="24"/>
          <w:szCs w:val="24"/>
        </w:rPr>
        <w:t xml:space="preserve"> cui all’art. 4 del suddetto </w:t>
      </w:r>
      <w:r w:rsidR="00E47BD2">
        <w:rPr>
          <w:rFonts w:ascii="Garamond" w:hAnsi="Garamond"/>
          <w:sz w:val="24"/>
          <w:szCs w:val="24"/>
        </w:rPr>
        <w:t>D</w:t>
      </w:r>
      <w:r w:rsidRPr="00875A39">
        <w:rPr>
          <w:rFonts w:ascii="Garamond" w:hAnsi="Garamond"/>
          <w:sz w:val="24"/>
          <w:szCs w:val="24"/>
        </w:rPr>
        <w:t xml:space="preserve">ecreto, </w:t>
      </w:r>
      <w:r w:rsidR="00010223" w:rsidRPr="00875A39">
        <w:rPr>
          <w:rFonts w:ascii="Garamond" w:hAnsi="Garamond"/>
          <w:sz w:val="24"/>
          <w:szCs w:val="24"/>
        </w:rPr>
        <w:t>qualifica come sleale il versamento oltre i termini ivi previsti, con le conseguenze di tipo sanzionatorio di cui all’art. 10, comma 3 dello stesso Decreto</w:t>
      </w:r>
      <w:r w:rsidR="00875A39">
        <w:rPr>
          <w:rFonts w:ascii="Garamond" w:hAnsi="Garamond"/>
          <w:sz w:val="24"/>
          <w:szCs w:val="24"/>
        </w:rPr>
        <w:t xml:space="preserve">: </w:t>
      </w:r>
      <w:r w:rsidR="00E47BD2">
        <w:rPr>
          <w:rFonts w:ascii="Garamond" w:hAnsi="Garamond"/>
          <w:sz w:val="24"/>
          <w:szCs w:val="24"/>
        </w:rPr>
        <w:t xml:space="preserve">da ciò deriva che </w:t>
      </w:r>
      <w:r w:rsidR="00875A39">
        <w:rPr>
          <w:rFonts w:ascii="Garamond" w:hAnsi="Garamond"/>
          <w:sz w:val="24"/>
          <w:szCs w:val="24"/>
        </w:rPr>
        <w:t>i termini ivi previsti rilevano ai soli fini sanzionatori.</w:t>
      </w:r>
      <w:r w:rsidR="00010223" w:rsidRPr="00875A39">
        <w:rPr>
          <w:rFonts w:ascii="Garamond" w:hAnsi="Garamond"/>
          <w:sz w:val="24"/>
          <w:szCs w:val="24"/>
        </w:rPr>
        <w:t xml:space="preserve"> </w:t>
      </w:r>
    </w:p>
    <w:p w14:paraId="18EF50B3" w14:textId="3D8CEFEF" w:rsidR="00E806D5" w:rsidRDefault="00875A39" w:rsidP="00E806D5">
      <w:pPr>
        <w:pStyle w:val="Nessunaspaziatura"/>
        <w:spacing w:after="120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Una diversa (ed errata) interpretazione</w:t>
      </w:r>
      <w:r w:rsidR="00E47BD2">
        <w:rPr>
          <w:rFonts w:ascii="Garamond" w:hAnsi="Garamond"/>
          <w:sz w:val="24"/>
          <w:szCs w:val="24"/>
        </w:rPr>
        <w:t xml:space="preserve"> che porti ad una necessitata revisione delle condizioni </w:t>
      </w:r>
      <w:r w:rsidR="003F5B1B">
        <w:rPr>
          <w:rFonts w:ascii="Garamond" w:hAnsi="Garamond"/>
          <w:sz w:val="24"/>
          <w:szCs w:val="24"/>
        </w:rPr>
        <w:t>sui</w:t>
      </w:r>
      <w:r w:rsidR="00E47BD2">
        <w:rPr>
          <w:rFonts w:ascii="Garamond" w:hAnsi="Garamond"/>
          <w:sz w:val="24"/>
          <w:szCs w:val="24"/>
        </w:rPr>
        <w:t xml:space="preserve"> </w:t>
      </w:r>
      <w:r w:rsidR="003F5B1B">
        <w:rPr>
          <w:rFonts w:ascii="Garamond" w:hAnsi="Garamond"/>
          <w:sz w:val="24"/>
          <w:szCs w:val="24"/>
        </w:rPr>
        <w:t xml:space="preserve">termini di versamento dei corrispettivi </w:t>
      </w:r>
      <w:r w:rsidR="00E47BD2">
        <w:rPr>
          <w:rFonts w:ascii="Garamond" w:hAnsi="Garamond"/>
          <w:sz w:val="24"/>
          <w:szCs w:val="24"/>
        </w:rPr>
        <w:t xml:space="preserve">verrebbe a configurarsi come una </w:t>
      </w:r>
      <w:r w:rsidR="00E47BD2" w:rsidRPr="003F5B1B">
        <w:rPr>
          <w:rFonts w:ascii="Garamond" w:hAnsi="Garamond"/>
          <w:sz w:val="24"/>
          <w:szCs w:val="24"/>
          <w:u w:val="single"/>
        </w:rPr>
        <w:t>modifica unilaterale da parte dell’acquirente delle condizioni relative ai termini di pagamento</w:t>
      </w:r>
      <w:r w:rsidR="00E47BD2">
        <w:rPr>
          <w:rFonts w:ascii="Garamond" w:hAnsi="Garamond"/>
          <w:sz w:val="24"/>
          <w:szCs w:val="24"/>
        </w:rPr>
        <w:t xml:space="preserve">, la quale, è qualificata espressamente come pratica sleale </w:t>
      </w:r>
      <w:r w:rsidR="00E806D5">
        <w:rPr>
          <w:rFonts w:ascii="Garamond" w:hAnsi="Garamond"/>
          <w:sz w:val="24"/>
          <w:szCs w:val="24"/>
        </w:rPr>
        <w:t>vietata dall’art. 4, co. 1, lett. d) del Decreto</w:t>
      </w:r>
      <w:r w:rsidR="00101D12">
        <w:rPr>
          <w:rFonts w:ascii="Garamond" w:hAnsi="Garamond"/>
          <w:sz w:val="24"/>
          <w:szCs w:val="24"/>
        </w:rPr>
        <w:t>, oltre a essere la relativa clausola nulla ai sensi dell’art. 1 comma 4 dello stesso Decreto</w:t>
      </w:r>
      <w:r w:rsidR="00E806D5">
        <w:rPr>
          <w:rFonts w:ascii="Garamond" w:hAnsi="Garamond"/>
          <w:sz w:val="24"/>
          <w:szCs w:val="24"/>
        </w:rPr>
        <w:t xml:space="preserve">. </w:t>
      </w:r>
    </w:p>
    <w:p w14:paraId="1EE42F23" w14:textId="750BF107" w:rsidR="0018383A" w:rsidRDefault="00875A39" w:rsidP="00E806D5">
      <w:pPr>
        <w:pStyle w:val="Nessunaspaziatur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101D12">
        <w:rPr>
          <w:rFonts w:ascii="Garamond" w:hAnsi="Garamond"/>
          <w:sz w:val="24"/>
          <w:szCs w:val="24"/>
        </w:rPr>
        <w:t xml:space="preserve">Fermo restando </w:t>
      </w:r>
      <w:r w:rsidR="00A605B2">
        <w:rPr>
          <w:rFonts w:ascii="Garamond" w:hAnsi="Garamond"/>
          <w:sz w:val="24"/>
          <w:szCs w:val="24"/>
        </w:rPr>
        <w:t xml:space="preserve">quanto enunciato al punto 1, </w:t>
      </w:r>
      <w:r w:rsidR="00BE469C">
        <w:rPr>
          <w:rFonts w:ascii="Garamond" w:hAnsi="Garamond"/>
          <w:sz w:val="24"/>
          <w:szCs w:val="24"/>
        </w:rPr>
        <w:t xml:space="preserve">si evidenzia che </w:t>
      </w:r>
      <w:r w:rsidR="00A605B2">
        <w:rPr>
          <w:rFonts w:ascii="Garamond" w:hAnsi="Garamond"/>
          <w:sz w:val="24"/>
          <w:szCs w:val="24"/>
        </w:rPr>
        <w:t>l’intera gamma dei nostri prodotti di salumeria rientra inequivocabilmente nella definizione di “</w:t>
      </w:r>
      <w:r w:rsidR="00A605B2" w:rsidRPr="001E6361">
        <w:rPr>
          <w:rFonts w:ascii="Garamond" w:hAnsi="Garamond"/>
          <w:i/>
          <w:iCs/>
          <w:sz w:val="24"/>
          <w:szCs w:val="24"/>
        </w:rPr>
        <w:t>prodotti</w:t>
      </w:r>
      <w:r w:rsidR="001E6361">
        <w:rPr>
          <w:rFonts w:ascii="Garamond" w:hAnsi="Garamond"/>
          <w:i/>
          <w:iCs/>
          <w:sz w:val="24"/>
          <w:szCs w:val="24"/>
        </w:rPr>
        <w:t xml:space="preserve"> agricoli e alimentari deperibili</w:t>
      </w:r>
      <w:r w:rsidR="001E6361">
        <w:rPr>
          <w:rFonts w:ascii="Garamond" w:hAnsi="Garamond"/>
          <w:sz w:val="24"/>
          <w:szCs w:val="24"/>
        </w:rPr>
        <w:t>”</w:t>
      </w:r>
      <w:r w:rsidR="0083746F">
        <w:rPr>
          <w:rFonts w:ascii="Garamond" w:hAnsi="Garamond"/>
          <w:sz w:val="24"/>
          <w:szCs w:val="24"/>
        </w:rPr>
        <w:t xml:space="preserve">, </w:t>
      </w:r>
      <w:r w:rsidR="00BE469C">
        <w:rPr>
          <w:rFonts w:ascii="Garamond" w:hAnsi="Garamond"/>
          <w:sz w:val="24"/>
          <w:szCs w:val="24"/>
        </w:rPr>
        <w:t xml:space="preserve">in </w:t>
      </w:r>
      <w:r w:rsidR="00BE469C" w:rsidRPr="0087198D">
        <w:rPr>
          <w:rFonts w:ascii="Garamond" w:hAnsi="Garamond"/>
          <w:sz w:val="24"/>
          <w:szCs w:val="24"/>
          <w:u w:val="single"/>
        </w:rPr>
        <w:t>quanto prodotti che “</w:t>
      </w:r>
      <w:r w:rsidR="00BE469C" w:rsidRPr="0087198D">
        <w:rPr>
          <w:rFonts w:ascii="Garamond" w:hAnsi="Garamond"/>
          <w:i/>
          <w:iCs/>
          <w:sz w:val="24"/>
          <w:szCs w:val="24"/>
          <w:u w:val="single"/>
        </w:rPr>
        <w:t>potrebbero diventare inadatti alla vendita entro 30 giorni dalla [...] trasformazione</w:t>
      </w:r>
      <w:r w:rsidR="00BE469C" w:rsidRPr="0087198D">
        <w:rPr>
          <w:rFonts w:ascii="Garamond" w:hAnsi="Garamond"/>
          <w:sz w:val="24"/>
          <w:szCs w:val="24"/>
          <w:u w:val="single"/>
        </w:rPr>
        <w:t>” per loro stessa natura, caratteristica e proprietà chimico fisiche</w:t>
      </w:r>
      <w:r w:rsidR="00BE469C">
        <w:rPr>
          <w:rFonts w:ascii="Garamond" w:hAnsi="Garamond"/>
          <w:sz w:val="24"/>
          <w:szCs w:val="24"/>
        </w:rPr>
        <w:t>. La riconducibilità, invero, dei prodotti di salumeria nella categoria d</w:t>
      </w:r>
      <w:r w:rsidR="003A4D79">
        <w:rPr>
          <w:rFonts w:ascii="Garamond" w:hAnsi="Garamond"/>
          <w:sz w:val="24"/>
          <w:szCs w:val="24"/>
        </w:rPr>
        <w:t>ei</w:t>
      </w:r>
      <w:r w:rsidR="00BE469C">
        <w:rPr>
          <w:rFonts w:ascii="Garamond" w:hAnsi="Garamond"/>
          <w:sz w:val="24"/>
          <w:szCs w:val="24"/>
        </w:rPr>
        <w:t xml:space="preserve"> </w:t>
      </w:r>
      <w:r w:rsidR="00BE469C" w:rsidRPr="003A4D79">
        <w:rPr>
          <w:rFonts w:ascii="Garamond" w:hAnsi="Garamond"/>
          <w:i/>
          <w:iCs/>
          <w:sz w:val="24"/>
          <w:szCs w:val="24"/>
        </w:rPr>
        <w:t>prodott</w:t>
      </w:r>
      <w:r w:rsidR="003A4D79" w:rsidRPr="003A4D79">
        <w:rPr>
          <w:rFonts w:ascii="Garamond" w:hAnsi="Garamond"/>
          <w:i/>
          <w:iCs/>
          <w:sz w:val="24"/>
          <w:szCs w:val="24"/>
        </w:rPr>
        <w:t>i</w:t>
      </w:r>
      <w:r w:rsidR="00BE469C" w:rsidRPr="003A4D79">
        <w:rPr>
          <w:rFonts w:ascii="Garamond" w:hAnsi="Garamond"/>
          <w:i/>
          <w:iCs/>
          <w:sz w:val="24"/>
          <w:szCs w:val="24"/>
        </w:rPr>
        <w:t xml:space="preserve"> deperibili</w:t>
      </w:r>
      <w:r w:rsidR="003A4D79" w:rsidRPr="003A4D79">
        <w:rPr>
          <w:rFonts w:ascii="Garamond" w:hAnsi="Garamond"/>
          <w:i/>
          <w:iCs/>
          <w:sz w:val="24"/>
          <w:szCs w:val="24"/>
        </w:rPr>
        <w:t xml:space="preserve"> o deteriorabili</w:t>
      </w:r>
      <w:r w:rsidR="00BE469C">
        <w:rPr>
          <w:rFonts w:ascii="Garamond" w:hAnsi="Garamond"/>
          <w:sz w:val="24"/>
          <w:szCs w:val="24"/>
        </w:rPr>
        <w:t xml:space="preserve"> è elemento consolidato</w:t>
      </w:r>
      <w:r w:rsidR="003A4D79">
        <w:rPr>
          <w:rFonts w:ascii="Garamond" w:hAnsi="Garamond"/>
          <w:sz w:val="24"/>
          <w:szCs w:val="24"/>
        </w:rPr>
        <w:t xml:space="preserve"> in quanto </w:t>
      </w:r>
      <w:r w:rsidR="00BE469C">
        <w:rPr>
          <w:rFonts w:ascii="Garamond" w:hAnsi="Garamond"/>
          <w:sz w:val="24"/>
          <w:szCs w:val="24"/>
        </w:rPr>
        <w:t xml:space="preserve">già espressamente previsto dagli antecedenti normativi del Decreto in questione: </w:t>
      </w:r>
      <w:r w:rsidR="003A4D79">
        <w:rPr>
          <w:rFonts w:ascii="Garamond" w:hAnsi="Garamond"/>
          <w:sz w:val="24"/>
          <w:szCs w:val="24"/>
        </w:rPr>
        <w:t>ne</w:t>
      </w:r>
      <w:r w:rsidR="00BE469C">
        <w:rPr>
          <w:rFonts w:ascii="Garamond" w:hAnsi="Garamond"/>
          <w:sz w:val="24"/>
          <w:szCs w:val="24"/>
        </w:rPr>
        <w:t xml:space="preserve">l </w:t>
      </w:r>
      <w:r w:rsidR="003F5B1B">
        <w:rPr>
          <w:rFonts w:ascii="Garamond" w:hAnsi="Garamond"/>
          <w:sz w:val="24"/>
          <w:szCs w:val="24"/>
        </w:rPr>
        <w:t>d</w:t>
      </w:r>
      <w:r w:rsidR="00BE469C">
        <w:rPr>
          <w:rFonts w:ascii="Garamond" w:hAnsi="Garamond"/>
          <w:sz w:val="24"/>
          <w:szCs w:val="24"/>
        </w:rPr>
        <w:t>ecreto 13 maggio 2003 del Ministero delle attività produttive, il quale</w:t>
      </w:r>
      <w:r w:rsidR="003F5B1B">
        <w:rPr>
          <w:rFonts w:ascii="Garamond" w:hAnsi="Garamond"/>
          <w:sz w:val="24"/>
          <w:szCs w:val="24"/>
        </w:rPr>
        <w:t>,</w:t>
      </w:r>
      <w:r w:rsidR="00BE469C">
        <w:rPr>
          <w:rFonts w:ascii="Garamond" w:hAnsi="Garamond"/>
          <w:sz w:val="24"/>
          <w:szCs w:val="24"/>
        </w:rPr>
        <w:t xml:space="preserve"> nella specifica materia dei ritardi di pagamento dei prodotti deteriorabili, </w:t>
      </w:r>
      <w:r w:rsidR="004D6869">
        <w:rPr>
          <w:rFonts w:ascii="Garamond" w:hAnsi="Garamond"/>
          <w:sz w:val="24"/>
          <w:szCs w:val="24"/>
        </w:rPr>
        <w:t xml:space="preserve">indicava i prodotti a base di carne </w:t>
      </w:r>
      <w:r w:rsidR="004D6869" w:rsidRPr="004D6869">
        <w:rPr>
          <w:rFonts w:ascii="Garamond" w:hAnsi="Garamond"/>
          <w:sz w:val="24"/>
          <w:szCs w:val="24"/>
        </w:rPr>
        <w:t xml:space="preserve">caratterizzati da </w:t>
      </w:r>
      <w:proofErr w:type="spellStart"/>
      <w:r w:rsidR="004D6869" w:rsidRPr="004D6869">
        <w:rPr>
          <w:rFonts w:ascii="Garamond" w:hAnsi="Garamond"/>
          <w:sz w:val="24"/>
          <w:szCs w:val="24"/>
        </w:rPr>
        <w:t>aW</w:t>
      </w:r>
      <w:proofErr w:type="spellEnd"/>
      <w:r w:rsidR="004D6869" w:rsidRPr="004D6869">
        <w:rPr>
          <w:rFonts w:ascii="Garamond" w:hAnsi="Garamond"/>
          <w:sz w:val="24"/>
          <w:szCs w:val="24"/>
        </w:rPr>
        <w:t xml:space="preserve"> superiore a 0,95 e pH superiore a 5,2 oppure </w:t>
      </w:r>
      <w:proofErr w:type="spellStart"/>
      <w:r w:rsidR="004D6869" w:rsidRPr="004D6869">
        <w:rPr>
          <w:rFonts w:ascii="Garamond" w:hAnsi="Garamond"/>
          <w:sz w:val="24"/>
          <w:szCs w:val="24"/>
        </w:rPr>
        <w:t>aW</w:t>
      </w:r>
      <w:proofErr w:type="spellEnd"/>
      <w:r w:rsidR="004D6869" w:rsidRPr="004D6869">
        <w:rPr>
          <w:rFonts w:ascii="Garamond" w:hAnsi="Garamond"/>
          <w:sz w:val="24"/>
          <w:szCs w:val="24"/>
        </w:rPr>
        <w:t xml:space="preserve"> superiore a 0,91 oppure pH uguale o superiore a 4,5</w:t>
      </w:r>
      <w:r w:rsidR="004D6869">
        <w:rPr>
          <w:rFonts w:ascii="Garamond" w:hAnsi="Garamond"/>
          <w:sz w:val="24"/>
          <w:szCs w:val="24"/>
        </w:rPr>
        <w:t xml:space="preserve"> quali prodotti deteriorabili</w:t>
      </w:r>
      <w:r w:rsidR="00E6403D">
        <w:rPr>
          <w:rFonts w:ascii="Garamond" w:hAnsi="Garamond"/>
          <w:sz w:val="24"/>
          <w:szCs w:val="24"/>
        </w:rPr>
        <w:t xml:space="preserve"> (a conferma la circo</w:t>
      </w:r>
      <w:r w:rsidR="0018383A">
        <w:rPr>
          <w:rFonts w:ascii="Garamond" w:hAnsi="Garamond"/>
          <w:sz w:val="24"/>
          <w:szCs w:val="24"/>
        </w:rPr>
        <w:t>lare 23 giugno 2003, n. 3560/C)</w:t>
      </w:r>
      <w:r w:rsidR="003A4D79">
        <w:rPr>
          <w:rFonts w:ascii="Garamond" w:hAnsi="Garamond"/>
          <w:sz w:val="24"/>
          <w:szCs w:val="24"/>
        </w:rPr>
        <w:t xml:space="preserve">; nonché nell’art. 62 del </w:t>
      </w:r>
      <w:r w:rsidR="0087198D">
        <w:rPr>
          <w:rFonts w:ascii="Garamond" w:hAnsi="Garamond"/>
          <w:sz w:val="24"/>
          <w:szCs w:val="24"/>
        </w:rPr>
        <w:t>d</w:t>
      </w:r>
      <w:r w:rsidR="003A4D79">
        <w:rPr>
          <w:rFonts w:ascii="Garamond" w:hAnsi="Garamond"/>
          <w:sz w:val="24"/>
          <w:szCs w:val="24"/>
        </w:rPr>
        <w:t>ecreto legge 24 gennaio 2012, n. 1 (convertito dalla Legge 24 marzo 2012, n. 27)</w:t>
      </w:r>
      <w:r w:rsidR="0087198D">
        <w:rPr>
          <w:rFonts w:ascii="Garamond" w:hAnsi="Garamond"/>
          <w:sz w:val="24"/>
          <w:szCs w:val="24"/>
        </w:rPr>
        <w:t>, rispetto al quale il Decreto del 2021 si pone quale intervento di razionalizzazione e rafforzamento.</w:t>
      </w:r>
    </w:p>
    <w:p w14:paraId="441B484F" w14:textId="4683B567" w:rsidR="00365D27" w:rsidRDefault="003A4D79" w:rsidP="0018383A">
      <w:pPr>
        <w:pStyle w:val="Nessunaspaziatura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riprova della </w:t>
      </w:r>
      <w:r w:rsidR="001F77ED">
        <w:rPr>
          <w:rFonts w:ascii="Garamond" w:hAnsi="Garamond"/>
          <w:sz w:val="24"/>
          <w:szCs w:val="24"/>
        </w:rPr>
        <w:t>descritta intrinseca caratteristica di deperibilità dei prodotti di salumeria (</w:t>
      </w:r>
      <w:r w:rsidR="0087198D">
        <w:rPr>
          <w:rFonts w:ascii="Garamond" w:hAnsi="Garamond"/>
          <w:sz w:val="24"/>
          <w:szCs w:val="24"/>
        </w:rPr>
        <w:t>considerate le</w:t>
      </w:r>
      <w:r w:rsidR="00E6403D">
        <w:rPr>
          <w:rFonts w:ascii="Garamond" w:hAnsi="Garamond"/>
          <w:sz w:val="24"/>
          <w:szCs w:val="24"/>
        </w:rPr>
        <w:t xml:space="preserve"> caratteristiche chimico-fisiche) si evidenzia la circostanza per cui, diversamente dagli altri prodotti considerati deteriorabili, </w:t>
      </w:r>
      <w:r w:rsidR="00F43605">
        <w:rPr>
          <w:rFonts w:ascii="Garamond" w:hAnsi="Garamond"/>
          <w:sz w:val="24"/>
          <w:szCs w:val="24"/>
        </w:rPr>
        <w:t>la normativa precedentemente vigente (segnatamente l’articolo 62 del DL 1/2012 ma ancor prima il già citato Decreto MAP del 2003)</w:t>
      </w:r>
      <w:r w:rsidR="00E6403D">
        <w:rPr>
          <w:rFonts w:ascii="Garamond" w:hAnsi="Garamond"/>
          <w:sz w:val="24"/>
          <w:szCs w:val="24"/>
        </w:rPr>
        <w:t xml:space="preserve"> li ha </w:t>
      </w:r>
      <w:r w:rsidR="0087198D">
        <w:rPr>
          <w:rFonts w:ascii="Garamond" w:hAnsi="Garamond"/>
          <w:sz w:val="24"/>
          <w:szCs w:val="24"/>
        </w:rPr>
        <w:t xml:space="preserve">costantemente </w:t>
      </w:r>
      <w:r w:rsidR="00E6403D">
        <w:rPr>
          <w:rFonts w:ascii="Garamond" w:hAnsi="Garamond"/>
          <w:sz w:val="24"/>
          <w:szCs w:val="24"/>
        </w:rPr>
        <w:t xml:space="preserve">annoverati nella categoria in questione indipendentemente dalla durata complessiva del prodotto o dal </w:t>
      </w:r>
      <w:proofErr w:type="spellStart"/>
      <w:r w:rsidR="00E6403D">
        <w:rPr>
          <w:rFonts w:ascii="Garamond" w:hAnsi="Garamond"/>
          <w:sz w:val="24"/>
          <w:szCs w:val="24"/>
        </w:rPr>
        <w:t>Tmc</w:t>
      </w:r>
      <w:proofErr w:type="spellEnd"/>
      <w:r w:rsidR="00E6403D">
        <w:rPr>
          <w:rFonts w:ascii="Garamond" w:hAnsi="Garamond"/>
          <w:sz w:val="24"/>
          <w:szCs w:val="24"/>
        </w:rPr>
        <w:t>.</w:t>
      </w:r>
    </w:p>
    <w:p w14:paraId="245B0303" w14:textId="29483F08" w:rsidR="00F43605" w:rsidRDefault="00567DF1" w:rsidP="00567DF1">
      <w:pPr>
        <w:pStyle w:val="Nessunaspaziatur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Vale appena ricordare che i riferimenti a TMC e data di scadenza non </w:t>
      </w:r>
      <w:r w:rsidR="00F43605">
        <w:rPr>
          <w:rFonts w:ascii="Garamond" w:hAnsi="Garamond"/>
          <w:sz w:val="24"/>
          <w:szCs w:val="24"/>
        </w:rPr>
        <w:t xml:space="preserve">sembrano essere </w:t>
      </w:r>
      <w:r>
        <w:rPr>
          <w:rFonts w:ascii="Garamond" w:hAnsi="Garamond"/>
          <w:sz w:val="24"/>
          <w:szCs w:val="24"/>
        </w:rPr>
        <w:t>utili a determinare la deperibilità del prodotto agroalimentare ai sensi del richiamato DLGS 198/2021, come precisato dalla direttiva stessa di cui il DLGS è norma di recepimento a livello nazionale.</w:t>
      </w:r>
      <w:r w:rsidR="000B4950">
        <w:rPr>
          <w:rFonts w:ascii="Garamond" w:hAnsi="Garamond"/>
          <w:sz w:val="24"/>
          <w:szCs w:val="24"/>
        </w:rPr>
        <w:t xml:space="preserve"> </w:t>
      </w:r>
      <w:r w:rsidR="00F43605">
        <w:rPr>
          <w:rFonts w:ascii="Garamond" w:hAnsi="Garamond"/>
          <w:sz w:val="24"/>
          <w:szCs w:val="24"/>
        </w:rPr>
        <w:t>Ciò sembrerebbe lasciar intendere che o</w:t>
      </w:r>
      <w:r w:rsidR="000B4950">
        <w:rPr>
          <w:rFonts w:ascii="Garamond" w:hAnsi="Garamond"/>
          <w:sz w:val="24"/>
          <w:szCs w:val="24"/>
        </w:rPr>
        <w:t xml:space="preserve">gni scelta per tempi di pagamento dei salumi pari a 60 giorni </w:t>
      </w:r>
      <w:r w:rsidR="00F43605">
        <w:rPr>
          <w:rFonts w:ascii="Garamond" w:hAnsi="Garamond"/>
          <w:sz w:val="24"/>
          <w:szCs w:val="24"/>
        </w:rPr>
        <w:t xml:space="preserve">che venga </w:t>
      </w:r>
      <w:r w:rsidR="000B4950">
        <w:rPr>
          <w:rFonts w:ascii="Garamond" w:hAnsi="Garamond"/>
          <w:sz w:val="24"/>
          <w:szCs w:val="24"/>
        </w:rPr>
        <w:t>effettuata sulla base di valutazioni di deperibilità</w:t>
      </w:r>
      <w:r w:rsidR="00F43605">
        <w:rPr>
          <w:rFonts w:ascii="Garamond" w:hAnsi="Garamond"/>
          <w:sz w:val="24"/>
          <w:szCs w:val="24"/>
        </w:rPr>
        <w:t xml:space="preserve"> dei prodotti</w:t>
      </w:r>
      <w:r w:rsidR="000B4950">
        <w:rPr>
          <w:rFonts w:ascii="Garamond" w:hAnsi="Garamond"/>
          <w:sz w:val="24"/>
          <w:szCs w:val="24"/>
        </w:rPr>
        <w:t xml:space="preserve"> basate su TMC, scadenza o </w:t>
      </w:r>
      <w:proofErr w:type="spellStart"/>
      <w:r w:rsidR="000B4950">
        <w:rPr>
          <w:rFonts w:ascii="Garamond" w:hAnsi="Garamond"/>
          <w:sz w:val="24"/>
          <w:szCs w:val="24"/>
        </w:rPr>
        <w:t>shelf</w:t>
      </w:r>
      <w:proofErr w:type="spellEnd"/>
      <w:r w:rsidR="000B4950">
        <w:rPr>
          <w:rFonts w:ascii="Garamond" w:hAnsi="Garamond"/>
          <w:sz w:val="24"/>
          <w:szCs w:val="24"/>
        </w:rPr>
        <w:t xml:space="preserve"> life </w:t>
      </w:r>
      <w:r w:rsidR="00F43605">
        <w:rPr>
          <w:rFonts w:ascii="Garamond" w:hAnsi="Garamond"/>
          <w:sz w:val="24"/>
          <w:szCs w:val="24"/>
        </w:rPr>
        <w:t>possano essere non conformi ai principi della direttiva</w:t>
      </w:r>
      <w:r w:rsidR="000B4950">
        <w:rPr>
          <w:rFonts w:ascii="Garamond" w:hAnsi="Garamond"/>
          <w:sz w:val="24"/>
          <w:szCs w:val="24"/>
        </w:rPr>
        <w:t xml:space="preserve"> </w:t>
      </w:r>
      <w:r w:rsidR="00F43605">
        <w:rPr>
          <w:rFonts w:ascii="Garamond" w:hAnsi="Garamond"/>
          <w:sz w:val="24"/>
          <w:szCs w:val="24"/>
        </w:rPr>
        <w:t xml:space="preserve">attuata dal </w:t>
      </w:r>
      <w:r w:rsidR="000B4950">
        <w:rPr>
          <w:rFonts w:ascii="Garamond" w:hAnsi="Garamond"/>
          <w:sz w:val="24"/>
          <w:szCs w:val="24"/>
        </w:rPr>
        <w:t>DLGS 198/2021</w:t>
      </w:r>
      <w:r w:rsidR="00F43605">
        <w:rPr>
          <w:rFonts w:ascii="Garamond" w:hAnsi="Garamond"/>
          <w:sz w:val="24"/>
          <w:szCs w:val="24"/>
        </w:rPr>
        <w:t>.</w:t>
      </w:r>
    </w:p>
    <w:p w14:paraId="0706EF8C" w14:textId="0B05B65E" w:rsidR="00567DF1" w:rsidRDefault="00F43605" w:rsidP="000C3766">
      <w:pPr>
        <w:pStyle w:val="Nessunaspaziatura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</w:t>
      </w:r>
      <w:r w:rsidR="000B4950">
        <w:rPr>
          <w:rFonts w:ascii="Garamond" w:hAnsi="Garamond"/>
          <w:sz w:val="24"/>
          <w:szCs w:val="24"/>
        </w:rPr>
        <w:t xml:space="preserve">i sensi della richiamata direttiva </w:t>
      </w:r>
      <w:r>
        <w:rPr>
          <w:rFonts w:ascii="Garamond" w:hAnsi="Garamond"/>
          <w:sz w:val="24"/>
          <w:szCs w:val="24"/>
        </w:rPr>
        <w:t xml:space="preserve">la deperibilità di un prodotto </w:t>
      </w:r>
      <w:r w:rsidR="000B4950">
        <w:rPr>
          <w:rFonts w:ascii="Garamond" w:hAnsi="Garamond"/>
          <w:sz w:val="24"/>
          <w:szCs w:val="24"/>
        </w:rPr>
        <w:t xml:space="preserve">non deve essere </w:t>
      </w:r>
      <w:r>
        <w:rPr>
          <w:rFonts w:ascii="Garamond" w:hAnsi="Garamond"/>
          <w:sz w:val="24"/>
          <w:szCs w:val="24"/>
        </w:rPr>
        <w:t xml:space="preserve">infatti </w:t>
      </w:r>
      <w:r w:rsidR="000B4950">
        <w:rPr>
          <w:rFonts w:ascii="Garamond" w:hAnsi="Garamond"/>
          <w:sz w:val="24"/>
          <w:szCs w:val="24"/>
        </w:rPr>
        <w:t>valutata in base a requisiti di carattere igienico sanitario o per la salute umana dettati da altre norme europee, esplicitamente ritenuti avere finalità difformi da quelli della direttiva per il contrasto alle pratiche sleali nella filiera agroalimentare.</w:t>
      </w:r>
    </w:p>
    <w:p w14:paraId="6DA9D0B9" w14:textId="77777777" w:rsidR="000B4950" w:rsidRDefault="000B4950" w:rsidP="000B4950">
      <w:pPr>
        <w:pStyle w:val="Nessunaspaziatura"/>
        <w:spacing w:after="120"/>
        <w:jc w:val="both"/>
        <w:rPr>
          <w:rFonts w:ascii="Garamond" w:hAnsi="Garamond"/>
          <w:sz w:val="24"/>
          <w:szCs w:val="24"/>
        </w:rPr>
      </w:pPr>
    </w:p>
    <w:p w14:paraId="2A9541A6" w14:textId="0F332C8B" w:rsidR="00E25474" w:rsidRDefault="00786E99" w:rsidP="000B4950">
      <w:pPr>
        <w:pStyle w:val="Nessunaspaziatura"/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sintesi, appare evidente che u</w:t>
      </w:r>
      <w:r w:rsidR="00365D27">
        <w:rPr>
          <w:rFonts w:ascii="Garamond" w:hAnsi="Garamond"/>
          <w:sz w:val="24"/>
          <w:szCs w:val="24"/>
        </w:rPr>
        <w:t xml:space="preserve">na diversa interpretazione volta a ricondurre </w:t>
      </w:r>
      <w:r w:rsidR="0087198D">
        <w:rPr>
          <w:rFonts w:ascii="Garamond" w:hAnsi="Garamond"/>
          <w:sz w:val="24"/>
          <w:szCs w:val="24"/>
        </w:rPr>
        <w:t xml:space="preserve">i </w:t>
      </w:r>
      <w:r w:rsidR="00365D27">
        <w:rPr>
          <w:rFonts w:ascii="Garamond" w:hAnsi="Garamond"/>
          <w:sz w:val="24"/>
          <w:szCs w:val="24"/>
        </w:rPr>
        <w:t xml:space="preserve">prodotti di salumeria nell’ambito dei prodotti non deperibili, oltre </w:t>
      </w:r>
      <w:r w:rsidR="0087198D">
        <w:rPr>
          <w:rFonts w:ascii="Garamond" w:hAnsi="Garamond"/>
          <w:sz w:val="24"/>
          <w:szCs w:val="24"/>
        </w:rPr>
        <w:t>contrastarsi</w:t>
      </w:r>
      <w:r w:rsidR="00365D27">
        <w:rPr>
          <w:rFonts w:ascii="Garamond" w:hAnsi="Garamond"/>
          <w:sz w:val="24"/>
          <w:szCs w:val="24"/>
        </w:rPr>
        <w:t xml:space="preserve"> con la consolidata interpretazione fornita dal legislatore</w:t>
      </w:r>
      <w:r w:rsidR="0087198D">
        <w:rPr>
          <w:rFonts w:ascii="Garamond" w:hAnsi="Garamond"/>
          <w:sz w:val="24"/>
          <w:szCs w:val="24"/>
        </w:rPr>
        <w:t xml:space="preserve"> e la prassi di settore</w:t>
      </w:r>
      <w:r w:rsidR="00365D27">
        <w:rPr>
          <w:rFonts w:ascii="Garamond" w:hAnsi="Garamond"/>
          <w:sz w:val="24"/>
          <w:szCs w:val="24"/>
        </w:rPr>
        <w:t xml:space="preserve">, si porrebbe in contrasto con </w:t>
      </w:r>
      <w:r w:rsidR="00113A62">
        <w:rPr>
          <w:rFonts w:ascii="Garamond" w:hAnsi="Garamond"/>
          <w:sz w:val="24"/>
          <w:szCs w:val="24"/>
        </w:rPr>
        <w:t xml:space="preserve">la </w:t>
      </w:r>
      <w:r w:rsidR="00365D27" w:rsidRPr="00365D27">
        <w:rPr>
          <w:rFonts w:ascii="Garamond" w:hAnsi="Garamond"/>
          <w:sz w:val="24"/>
          <w:szCs w:val="24"/>
        </w:rPr>
        <w:t>realtà caratteristica di questi prodotti che restano dunque prodotti suscettibili di diventare rapidamente inadatti alla vendita</w:t>
      </w:r>
      <w:r w:rsidR="00F43605">
        <w:rPr>
          <w:rFonts w:ascii="Garamond" w:hAnsi="Garamond"/>
          <w:sz w:val="24"/>
          <w:szCs w:val="24"/>
        </w:rPr>
        <w:t xml:space="preserve">, </w:t>
      </w:r>
      <w:r w:rsidR="00AE6B9D" w:rsidRPr="00AE6B9D">
        <w:rPr>
          <w:rFonts w:ascii="Garamond" w:hAnsi="Garamond"/>
          <w:sz w:val="24"/>
          <w:szCs w:val="24"/>
        </w:rPr>
        <w:t xml:space="preserve">indipendentemente dal fatto che </w:t>
      </w:r>
      <w:r w:rsidR="00AE6B9D">
        <w:rPr>
          <w:rFonts w:ascii="Garamond" w:hAnsi="Garamond"/>
          <w:sz w:val="24"/>
          <w:szCs w:val="24"/>
        </w:rPr>
        <w:t>essi</w:t>
      </w:r>
      <w:r w:rsidR="00AE6B9D" w:rsidRPr="00AE6B9D">
        <w:rPr>
          <w:rFonts w:ascii="Garamond" w:hAnsi="Garamond"/>
          <w:sz w:val="24"/>
          <w:szCs w:val="24"/>
        </w:rPr>
        <w:t xml:space="preserve"> sia</w:t>
      </w:r>
      <w:r w:rsidR="00AE6B9D">
        <w:rPr>
          <w:rFonts w:ascii="Garamond" w:hAnsi="Garamond"/>
          <w:sz w:val="24"/>
          <w:szCs w:val="24"/>
        </w:rPr>
        <w:t>no</w:t>
      </w:r>
      <w:r w:rsidR="00AE6B9D" w:rsidRPr="00AE6B9D">
        <w:rPr>
          <w:rFonts w:ascii="Garamond" w:hAnsi="Garamond"/>
          <w:sz w:val="24"/>
          <w:szCs w:val="24"/>
        </w:rPr>
        <w:t xml:space="preserve"> trattat</w:t>
      </w:r>
      <w:r w:rsidR="00AE6B9D">
        <w:rPr>
          <w:rFonts w:ascii="Garamond" w:hAnsi="Garamond"/>
          <w:sz w:val="24"/>
          <w:szCs w:val="24"/>
        </w:rPr>
        <w:t>i</w:t>
      </w:r>
      <w:r w:rsidR="00AE6B9D" w:rsidRPr="00AE6B9D">
        <w:rPr>
          <w:rFonts w:ascii="Garamond" w:hAnsi="Garamond"/>
          <w:sz w:val="24"/>
          <w:szCs w:val="24"/>
        </w:rPr>
        <w:t xml:space="preserve"> dopo la vendita conformemente ad altre norme, in particolare quelle in materia di sicurezza alimentare</w:t>
      </w:r>
      <w:r w:rsidR="00365D27" w:rsidRPr="00365D27">
        <w:rPr>
          <w:rFonts w:ascii="Garamond" w:hAnsi="Garamond"/>
          <w:sz w:val="24"/>
          <w:szCs w:val="24"/>
        </w:rPr>
        <w:t>.</w:t>
      </w:r>
    </w:p>
    <w:p w14:paraId="33819C78" w14:textId="36FECBB2" w:rsidR="0075599B" w:rsidRPr="0087198D" w:rsidRDefault="0075599B" w:rsidP="00E25474">
      <w:pPr>
        <w:pStyle w:val="Nessunaspaziatura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87198D">
        <w:rPr>
          <w:rFonts w:ascii="Garamond" w:hAnsi="Garamond"/>
          <w:sz w:val="24"/>
          <w:szCs w:val="24"/>
        </w:rPr>
        <w:t xml:space="preserve">Alla luce delle considerazioni di cui sopra, </w:t>
      </w:r>
      <w:r w:rsidR="00AE6B9D">
        <w:rPr>
          <w:rFonts w:ascii="Garamond" w:hAnsi="Garamond"/>
          <w:sz w:val="24"/>
          <w:szCs w:val="24"/>
        </w:rPr>
        <w:t xml:space="preserve">riteniamo corretto proseguire la </w:t>
      </w:r>
      <w:r w:rsidR="00E25474" w:rsidRPr="0087198D">
        <w:rPr>
          <w:rFonts w:ascii="Garamond" w:eastAsia="Times New Roman" w:hAnsi="Garamond"/>
          <w:sz w:val="24"/>
          <w:szCs w:val="24"/>
          <w:lang w:eastAsia="it-IT"/>
        </w:rPr>
        <w:t xml:space="preserve">fatturazione delle nostre forniture </w:t>
      </w:r>
      <w:r w:rsidR="00AE6B9D">
        <w:rPr>
          <w:rFonts w:ascii="Garamond" w:eastAsia="Times New Roman" w:hAnsi="Garamond"/>
          <w:sz w:val="24"/>
          <w:szCs w:val="24"/>
          <w:lang w:eastAsia="it-IT"/>
        </w:rPr>
        <w:t xml:space="preserve">secondo i consolidati termini di </w:t>
      </w:r>
      <w:r w:rsidR="00E25474" w:rsidRPr="0087198D">
        <w:rPr>
          <w:rFonts w:ascii="Garamond" w:eastAsia="Times New Roman" w:hAnsi="Garamond"/>
          <w:sz w:val="24"/>
          <w:szCs w:val="24"/>
          <w:lang w:eastAsia="it-IT"/>
        </w:rPr>
        <w:t xml:space="preserve">pagamento di giorni 30. </w:t>
      </w:r>
      <w:r w:rsidR="00567DF1">
        <w:rPr>
          <w:rFonts w:ascii="Garamond" w:eastAsia="Times New Roman" w:hAnsi="Garamond"/>
          <w:sz w:val="24"/>
          <w:szCs w:val="24"/>
          <w:lang w:eastAsia="it-IT"/>
        </w:rPr>
        <w:t>Ogni altro termine di pagamento</w:t>
      </w:r>
      <w:r w:rsidR="00AE6B9D">
        <w:rPr>
          <w:rFonts w:ascii="Garamond" w:eastAsia="Times New Roman" w:hAnsi="Garamond"/>
          <w:sz w:val="24"/>
          <w:szCs w:val="24"/>
          <w:lang w:eastAsia="it-IT"/>
        </w:rPr>
        <w:t xml:space="preserve"> potrebbe rischiare</w:t>
      </w:r>
      <w:r w:rsidR="00567DF1">
        <w:rPr>
          <w:rFonts w:ascii="Garamond" w:eastAsia="Times New Roman" w:hAnsi="Garamond"/>
          <w:sz w:val="24"/>
          <w:szCs w:val="24"/>
          <w:lang w:eastAsia="it-IT"/>
        </w:rPr>
        <w:t xml:space="preserve"> di </w:t>
      </w:r>
      <w:r w:rsidR="00AE6B9D">
        <w:rPr>
          <w:rFonts w:ascii="Garamond" w:eastAsia="Times New Roman" w:hAnsi="Garamond"/>
          <w:sz w:val="24"/>
          <w:szCs w:val="24"/>
          <w:lang w:eastAsia="it-IT"/>
        </w:rPr>
        <w:t xml:space="preserve">esporre il rapporto contrattuale a eventuali indagini o accertamenti per la verifica degli eventuali </w:t>
      </w:r>
      <w:r w:rsidR="00567DF1">
        <w:rPr>
          <w:rFonts w:ascii="Garamond" w:eastAsia="Times New Roman" w:hAnsi="Garamond"/>
          <w:sz w:val="24"/>
          <w:szCs w:val="24"/>
          <w:lang w:eastAsia="it-IT"/>
        </w:rPr>
        <w:t>presupposti di una pratica sleale da parte degli appositi organi di vigilanza e autorità di controllo.</w:t>
      </w:r>
    </w:p>
    <w:p w14:paraId="1DD6D9D4" w14:textId="014F35C1" w:rsidR="00E25474" w:rsidRPr="0087198D" w:rsidRDefault="00E25474" w:rsidP="00E25474">
      <w:pPr>
        <w:pStyle w:val="Nessunaspaziatura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87198D">
        <w:rPr>
          <w:rFonts w:ascii="Garamond" w:eastAsia="Times New Roman" w:hAnsi="Garamond"/>
          <w:sz w:val="24"/>
          <w:szCs w:val="24"/>
          <w:lang w:eastAsia="it-IT"/>
        </w:rPr>
        <w:t>In conclusione, desideriamo altresì precisare che la decorrenza del termine di 30 giorni per effettuare i pagamenti avverrà a far data dalla fine del mese solare solo con riguardo alle consegne pattuit</w:t>
      </w:r>
      <w:r w:rsidR="00567DF1">
        <w:rPr>
          <w:rFonts w:ascii="Garamond" w:eastAsia="Times New Roman" w:hAnsi="Garamond"/>
          <w:sz w:val="24"/>
          <w:szCs w:val="24"/>
          <w:lang w:eastAsia="it-IT"/>
        </w:rPr>
        <w:t>e</w:t>
      </w:r>
      <w:r w:rsidRPr="0087198D">
        <w:rPr>
          <w:rFonts w:ascii="Garamond" w:eastAsia="Times New Roman" w:hAnsi="Garamond"/>
          <w:sz w:val="24"/>
          <w:szCs w:val="24"/>
          <w:lang w:eastAsia="it-IT"/>
        </w:rPr>
        <w:t xml:space="preserve"> su base periodica nel caso in cui le consegne si concludano dopo la definizione dell'importo da corrispondere. Diversamente, come previsto dalla nuova normativa, i 30 giorni decorreranno alternativamente dalla data di consegna o di definizione dell'importo da corrispondere (a seconda di quale sia la successiva).</w:t>
      </w:r>
    </w:p>
    <w:p w14:paraId="54FC192D" w14:textId="566F5E20" w:rsidR="00E25474" w:rsidRPr="00365D27" w:rsidRDefault="00E25474" w:rsidP="00E25474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14:paraId="46B0D434" w14:textId="605FF126" w:rsidR="00010223" w:rsidRPr="00875A39" w:rsidRDefault="00E6403D" w:rsidP="0018383A">
      <w:pPr>
        <w:pStyle w:val="Nessunaspaziatura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3A4D79">
        <w:rPr>
          <w:rFonts w:ascii="Garamond" w:hAnsi="Garamond"/>
          <w:sz w:val="24"/>
          <w:szCs w:val="24"/>
        </w:rPr>
        <w:t xml:space="preserve"> </w:t>
      </w:r>
      <w:r w:rsidR="004D6869">
        <w:rPr>
          <w:rFonts w:ascii="Garamond" w:hAnsi="Garamond"/>
          <w:sz w:val="24"/>
          <w:szCs w:val="24"/>
        </w:rPr>
        <w:t xml:space="preserve"> </w:t>
      </w:r>
    </w:p>
    <w:sectPr w:rsidR="00010223" w:rsidRPr="00875A39" w:rsidSect="00BF2C50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7E38"/>
    <w:multiLevelType w:val="hybridMultilevel"/>
    <w:tmpl w:val="53EAD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914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70"/>
    <w:rsid w:val="00001659"/>
    <w:rsid w:val="00010223"/>
    <w:rsid w:val="000B4950"/>
    <w:rsid w:val="000C0265"/>
    <w:rsid w:val="000C3766"/>
    <w:rsid w:val="00101D12"/>
    <w:rsid w:val="00113A62"/>
    <w:rsid w:val="0018383A"/>
    <w:rsid w:val="0019141B"/>
    <w:rsid w:val="001E32A9"/>
    <w:rsid w:val="001E6361"/>
    <w:rsid w:val="001F77ED"/>
    <w:rsid w:val="00267B6F"/>
    <w:rsid w:val="002D7DC1"/>
    <w:rsid w:val="00365D27"/>
    <w:rsid w:val="003A4D79"/>
    <w:rsid w:val="003F5B1B"/>
    <w:rsid w:val="004D6869"/>
    <w:rsid w:val="00567DF1"/>
    <w:rsid w:val="005A7B41"/>
    <w:rsid w:val="00642A79"/>
    <w:rsid w:val="0075599B"/>
    <w:rsid w:val="00786E99"/>
    <w:rsid w:val="007A0B83"/>
    <w:rsid w:val="00802F02"/>
    <w:rsid w:val="00814A4E"/>
    <w:rsid w:val="0083746F"/>
    <w:rsid w:val="0087198D"/>
    <w:rsid w:val="00875A39"/>
    <w:rsid w:val="00891F3B"/>
    <w:rsid w:val="00A511AB"/>
    <w:rsid w:val="00A605B2"/>
    <w:rsid w:val="00A67570"/>
    <w:rsid w:val="00AE6B9D"/>
    <w:rsid w:val="00BE469C"/>
    <w:rsid w:val="00BF2C50"/>
    <w:rsid w:val="00D0654F"/>
    <w:rsid w:val="00E25474"/>
    <w:rsid w:val="00E47BD2"/>
    <w:rsid w:val="00E6403D"/>
    <w:rsid w:val="00E806D5"/>
    <w:rsid w:val="00EA14E8"/>
    <w:rsid w:val="00F1530D"/>
    <w:rsid w:val="00F43605"/>
    <w:rsid w:val="00F61BA6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5B8D"/>
  <w15:chartTrackingRefBased/>
  <w15:docId w15:val="{DAE249D5-DA68-4A81-826A-426CC3FC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F2C50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0C02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026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026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02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0265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91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Cristiano Costantino Loddo</dc:creator>
  <cp:keywords/>
  <dc:description/>
  <cp:lastModifiedBy>Davide Calderone</cp:lastModifiedBy>
  <cp:revision>2</cp:revision>
  <dcterms:created xsi:type="dcterms:W3CDTF">2022-04-13T06:11:00Z</dcterms:created>
  <dcterms:modified xsi:type="dcterms:W3CDTF">2022-04-13T06:11:00Z</dcterms:modified>
</cp:coreProperties>
</file>